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0B78BD39" w:rsidR="00011887" w:rsidRPr="00CE0424" w:rsidRDefault="00011887" w:rsidP="00011887">
      <w:pPr>
        <w:pStyle w:val="3GPPHeader"/>
        <w:spacing w:after="60"/>
        <w:rPr>
          <w:sz w:val="32"/>
          <w:szCs w:val="32"/>
          <w:highlight w:val="yellow"/>
        </w:rPr>
      </w:pPr>
      <w:r w:rsidRPr="00CE0424">
        <w:t>3GPP TSG-RAN WG</w:t>
      </w:r>
      <w:r>
        <w:t>2</w:t>
      </w:r>
      <w:r w:rsidRPr="00CE0424">
        <w:t xml:space="preserve"> #</w:t>
      </w:r>
      <w:r w:rsidR="00C019DA">
        <w:t>100</w:t>
      </w:r>
      <w:r w:rsidRPr="00CE0424">
        <w:tab/>
      </w:r>
      <w:r w:rsidRPr="00CE0424">
        <w:rPr>
          <w:sz w:val="32"/>
          <w:szCs w:val="32"/>
        </w:rPr>
        <w:t xml:space="preserve">Tdoc </w:t>
      </w:r>
      <w:r w:rsidR="00C019DA">
        <w:rPr>
          <w:sz w:val="32"/>
          <w:szCs w:val="32"/>
        </w:rPr>
        <w:t>R2-17</w:t>
      </w:r>
      <w:r w:rsidR="00C019DA" w:rsidRPr="00C019DA">
        <w:rPr>
          <w:sz w:val="32"/>
          <w:szCs w:val="32"/>
          <w:highlight w:val="yellow"/>
        </w:rPr>
        <w:t>xxxxx</w:t>
      </w:r>
    </w:p>
    <w:p w14:paraId="56C12257" w14:textId="2BA671AE" w:rsidR="00E90E49" w:rsidRPr="00CE0424" w:rsidRDefault="00C019DA" w:rsidP="00357380">
      <w:pPr>
        <w:pStyle w:val="3GPPHeader"/>
      </w:pPr>
      <w:r>
        <w:t>Reno, US, 27</w:t>
      </w:r>
      <w:r w:rsidRPr="00C019DA">
        <w:rPr>
          <w:vertAlign w:val="superscript"/>
        </w:rPr>
        <w:t>th</w:t>
      </w:r>
      <w:r>
        <w:t xml:space="preserve"> Nov – 1</w:t>
      </w:r>
      <w:r w:rsidRPr="00C019DA">
        <w:rPr>
          <w:vertAlign w:val="superscript"/>
        </w:rPr>
        <w:t>st</w:t>
      </w:r>
      <w:r>
        <w:t xml:space="preserve"> Dec</w:t>
      </w:r>
      <w:r w:rsidR="003F04A8">
        <w:t xml:space="preserve"> 2017</w:t>
      </w:r>
      <w:r w:rsidR="00C23035">
        <w:t xml:space="preserve">                             </w:t>
      </w:r>
      <w:r w:rsidR="009B5DD7">
        <w:tab/>
      </w:r>
    </w:p>
    <w:p w14:paraId="4A4F422A" w14:textId="7CA9569A" w:rsidR="00E90E49" w:rsidRPr="009F0A5A" w:rsidRDefault="00E90E49" w:rsidP="00311702">
      <w:pPr>
        <w:pStyle w:val="3GPPHeader"/>
        <w:rPr>
          <w:sz w:val="22"/>
          <w:szCs w:val="22"/>
          <w:lang w:val="en-US"/>
        </w:rPr>
      </w:pPr>
      <w:r w:rsidRPr="009F0A5A">
        <w:rPr>
          <w:sz w:val="22"/>
          <w:szCs w:val="22"/>
          <w:lang w:val="en-US"/>
        </w:rPr>
        <w:t xml:space="preserve">Agenda </w:t>
      </w:r>
      <w:bookmarkStart w:id="0" w:name="_GoBack"/>
      <w:bookmarkEnd w:id="0"/>
      <w:r w:rsidRPr="00D47C81">
        <w:rPr>
          <w:sz w:val="22"/>
          <w:szCs w:val="22"/>
          <w:lang w:val="en-US"/>
        </w:rPr>
        <w:t>Item:</w:t>
      </w:r>
      <w:r w:rsidRPr="00D47C81">
        <w:rPr>
          <w:sz w:val="22"/>
          <w:szCs w:val="22"/>
          <w:lang w:val="en-US"/>
        </w:rPr>
        <w:tab/>
      </w:r>
      <w:r w:rsidR="001140DC" w:rsidRPr="00D47C81">
        <w:rPr>
          <w:sz w:val="22"/>
          <w:szCs w:val="22"/>
          <w:lang w:val="en-US"/>
        </w:rPr>
        <w:t>10.</w:t>
      </w:r>
      <w:r w:rsidR="000A34C3" w:rsidRPr="00D47C81">
        <w:rPr>
          <w:sz w:val="22"/>
          <w:szCs w:val="22"/>
          <w:lang w:val="en-US"/>
        </w:rPr>
        <w:t>4.1.4.7</w:t>
      </w:r>
    </w:p>
    <w:p w14:paraId="5DAA27F0" w14:textId="7B16239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FED267C" w:rsidR="00E90E49" w:rsidRPr="00CE0424" w:rsidRDefault="003D3C45" w:rsidP="00311702">
      <w:pPr>
        <w:pStyle w:val="3GPPHeader"/>
        <w:rPr>
          <w:sz w:val="22"/>
          <w:szCs w:val="22"/>
        </w:rPr>
      </w:pPr>
      <w:r>
        <w:rPr>
          <w:sz w:val="22"/>
          <w:szCs w:val="22"/>
        </w:rPr>
        <w:t>Title:</w:t>
      </w:r>
      <w:r w:rsidR="00A23FAF">
        <w:rPr>
          <w:sz w:val="22"/>
          <w:szCs w:val="22"/>
        </w:rPr>
        <w:tab/>
      </w:r>
      <w:r w:rsidR="00540E74" w:rsidRPr="00540E74">
        <w:rPr>
          <w:sz w:val="22"/>
          <w:szCs w:val="22"/>
        </w:rPr>
        <w:t xml:space="preserve">Measurement Requirements for Deactivated </w:t>
      </w:r>
      <w:r w:rsidR="002E25FD">
        <w:rPr>
          <w:sz w:val="22"/>
          <w:szCs w:val="22"/>
        </w:rPr>
        <w:t>Secondary Component Carriers</w:t>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6F0D93A3" w14:textId="0263A6C9" w:rsidR="00A23FAF" w:rsidRDefault="00894E45" w:rsidP="00A23FAF">
      <w:pPr>
        <w:pStyle w:val="BodyText"/>
        <w:keepNext/>
      </w:pPr>
      <w:r>
        <w:t xml:space="preserve">While there have been enormous efforts for completing the technical specifications for NR, there are still numerous items that are left for further studies. In this contribution, one such item namely </w:t>
      </w:r>
      <w:r w:rsidRPr="00894E45">
        <w:rPr>
          <w:i/>
        </w:rPr>
        <w:t>measCycleCSell</w:t>
      </w:r>
      <w:r>
        <w:t xml:space="preserve"> that is used to control the UE behaviour when encountering RRM measurements for deactivated secondary cells is discussed and a proposal for way forward is presented.</w:t>
      </w:r>
    </w:p>
    <w:p w14:paraId="363663C8" w14:textId="77777777" w:rsidR="00A120F2" w:rsidRDefault="00A120F2" w:rsidP="00A120F2">
      <w:pPr>
        <w:pStyle w:val="Heading1"/>
      </w:pPr>
      <w:bookmarkStart w:id="2" w:name="_Ref477972447"/>
      <w:r w:rsidRPr="00CE0424">
        <w:t>Discussion</w:t>
      </w:r>
      <w:bookmarkEnd w:id="2"/>
    </w:p>
    <w:p w14:paraId="78336F9C" w14:textId="47DA9EC6" w:rsidR="00B05474" w:rsidRDefault="00894E45" w:rsidP="00894E45">
      <w:pPr>
        <w:pStyle w:val="BodyText"/>
      </w:pPr>
      <w:r>
        <w:t>Carrier aggregation (CA) has been introduced initially in LTE release 10 and further enhanced in later releases as a way to increase robustness and increased user experience. When CA is enabled, a UE can receive/transmit payload data from multiple so-called component carriers, resulting in a wider overall transmission bandwidth. In carrier aggregation, one component carrier, denoted by primary component carrier is always activ</w:t>
      </w:r>
      <w:r w:rsidR="00473139">
        <w:t>at</w:t>
      </w:r>
      <w:r>
        <w:t>e</w:t>
      </w:r>
      <w:r w:rsidR="00B34707">
        <w:t>d</w:t>
      </w:r>
      <w:r>
        <w:t xml:space="preserve"> while multiple secondary component carriers can be activated/deactivated </w:t>
      </w:r>
      <w:r w:rsidR="00B34707">
        <w:t>when needed</w:t>
      </w:r>
      <w:r>
        <w:t>. RRM measurements of the activated secondary component carriers (</w:t>
      </w:r>
      <w:r w:rsidR="00473139">
        <w:t xml:space="preserve">denoted by </w:t>
      </w:r>
      <w:r>
        <w:t>SCells) are similar to that of primary component carrier (</w:t>
      </w:r>
      <w:r w:rsidR="00473139">
        <w:t xml:space="preserve">denoted by </w:t>
      </w:r>
      <w:r>
        <w:t xml:space="preserve">PCell), while the measurements for deactivated SCells are controlled via </w:t>
      </w:r>
      <w:r w:rsidR="00473139">
        <w:t xml:space="preserve">an </w:t>
      </w:r>
      <w:r>
        <w:t>RRC parameter</w:t>
      </w:r>
      <w:r w:rsidR="00473139">
        <w:t xml:space="preserve"> called </w:t>
      </w:r>
      <w:r w:rsidRPr="00B34707">
        <w:rPr>
          <w:i/>
        </w:rPr>
        <w:t>measCycleSCell</w:t>
      </w:r>
      <w:r>
        <w:t xml:space="preserve">. </w:t>
      </w:r>
      <w:r w:rsidR="00473139">
        <w:t>The parameter</w:t>
      </w:r>
      <w:r w:rsidR="00B34707">
        <w:t xml:space="preserve"> </w:t>
      </w:r>
      <w:r w:rsidR="0011602E" w:rsidRPr="00473139">
        <w:rPr>
          <w:i/>
        </w:rPr>
        <w:t>measCycleSCell</w:t>
      </w:r>
      <w:r w:rsidR="0011602E">
        <w:t xml:space="preserve"> is configured in measurement object</w:t>
      </w:r>
      <w:r w:rsidR="00A16C87">
        <w:t xml:space="preserve"> </w:t>
      </w:r>
      <w:r w:rsidR="000E2F1F">
        <w:t>and can take values from the range {</w:t>
      </w:r>
      <w:r w:rsidR="000E2F1F" w:rsidRPr="000E2F1F">
        <w:t xml:space="preserve">160, 256, 320, 512, 640, 1024, </w:t>
      </w:r>
      <w:r w:rsidR="000E2F1F">
        <w:t>1</w:t>
      </w:r>
      <w:r w:rsidR="000E2F1F" w:rsidRPr="000E2F1F">
        <w:t>280</w:t>
      </w:r>
      <w:r w:rsidR="000E2F1F">
        <w:t xml:space="preserve">} as described in </w:t>
      </w:r>
      <w:r w:rsidR="000E2F1F">
        <w:fldChar w:fldCharType="begin"/>
      </w:r>
      <w:r w:rsidR="000E2F1F">
        <w:instrText xml:space="preserve"> REF _Ref477726095 \r \h </w:instrText>
      </w:r>
      <w:r w:rsidR="000E2F1F">
        <w:fldChar w:fldCharType="separate"/>
      </w:r>
      <w:r w:rsidR="000E2F1F">
        <w:t>[1]</w:t>
      </w:r>
      <w:r w:rsidR="000E2F1F">
        <w:fldChar w:fldCharType="end"/>
      </w:r>
      <w:r w:rsidR="000E2F1F">
        <w:t>, where the value 160 corresponds to 160 subframes, 256 to 256 subframes and so on</w:t>
      </w:r>
      <w:r w:rsidR="00473139">
        <w:t xml:space="preserve">. </w:t>
      </w:r>
      <w:r w:rsidR="000E2F1F">
        <w:t xml:space="preserve">Then, </w:t>
      </w:r>
      <w:r w:rsidR="00473139" w:rsidRPr="00486FA4">
        <w:rPr>
          <w:i/>
        </w:rPr>
        <w:t>measCycleSCell</w:t>
      </w:r>
      <w:r w:rsidR="00486FA4">
        <w:t xml:space="preserve"> is used when a SCell is configured on the frequency indicated by the </w:t>
      </w:r>
      <w:r w:rsidR="00486FA4" w:rsidRPr="00486FA4">
        <w:rPr>
          <w:i/>
        </w:rPr>
        <w:t>measObject</w:t>
      </w:r>
      <w:r w:rsidR="00486FA4">
        <w:t xml:space="preserve"> and is in deactivated state, which determines the measurement requirements of that deactivated SCell. For instance, the UE shall be able to identify a new </w:t>
      </w:r>
      <w:r w:rsidR="00795412">
        <w:t xml:space="preserve">E-UTRAN </w:t>
      </w:r>
      <w:r w:rsidR="00486FA4">
        <w:t xml:space="preserve">detectable </w:t>
      </w:r>
      <w:r w:rsidR="00D252CD">
        <w:t xml:space="preserve">cell on a secondary component carrier within </w:t>
      </w:r>
      <w:r w:rsidR="00D252CD" w:rsidRPr="003031FB">
        <w:t>T</w:t>
      </w:r>
      <w:r w:rsidR="00D252CD" w:rsidRPr="003031FB">
        <w:rPr>
          <w:vertAlign w:val="subscript"/>
        </w:rPr>
        <w:t>identify_scc</w:t>
      </w:r>
      <w:r w:rsidR="00D252CD">
        <w:rPr>
          <w:vertAlign w:val="subscript"/>
        </w:rPr>
        <w:t xml:space="preserve"> </w:t>
      </w:r>
      <w:r w:rsidR="00B05474">
        <w:t xml:space="preserve">= max(20 x </w:t>
      </w:r>
      <w:r w:rsidR="00D252CD" w:rsidRPr="003031FB">
        <w:rPr>
          <w:rFonts w:cs="v4.2.0"/>
          <w:i/>
        </w:rPr>
        <w:t>measCycleSCell</w:t>
      </w:r>
      <w:r w:rsidR="00D252CD" w:rsidRPr="003031FB">
        <w:t>, T</w:t>
      </w:r>
      <w:r w:rsidR="00D252CD" w:rsidRPr="003031FB">
        <w:rPr>
          <w:vertAlign w:val="subscript"/>
        </w:rPr>
        <w:t>identify_scc1</w:t>
      </w:r>
      <w:r w:rsidR="00D252CD">
        <w:t xml:space="preserve">), where </w:t>
      </w:r>
      <w:r w:rsidR="00D252CD" w:rsidRPr="003031FB">
        <w:t>T</w:t>
      </w:r>
      <w:r w:rsidR="00D252CD" w:rsidRPr="003031FB">
        <w:rPr>
          <w:vertAlign w:val="subscript"/>
        </w:rPr>
        <w:t>identify_scc1</w:t>
      </w:r>
      <w:r w:rsidR="00D252CD" w:rsidRPr="003031FB">
        <w:t xml:space="preserve"> is given</w:t>
      </w:r>
      <w:r w:rsidR="00B05474">
        <w:t xml:space="preserve"> by </w:t>
      </w:r>
      <w:r w:rsidR="00B05474">
        <w:fldChar w:fldCharType="begin"/>
      </w:r>
      <w:r w:rsidR="00B05474">
        <w:instrText xml:space="preserve"> REF _Ref498327440 \h </w:instrText>
      </w:r>
      <w:r w:rsidR="00B05474">
        <w:fldChar w:fldCharType="separate"/>
      </w:r>
      <w:r w:rsidR="00B05474">
        <w:t xml:space="preserve">Table </w:t>
      </w:r>
      <w:r w:rsidR="00B05474">
        <w:rPr>
          <w:noProof/>
        </w:rPr>
        <w:t>1</w:t>
      </w:r>
      <w:r w:rsidR="00B05474">
        <w:fldChar w:fldCharType="end"/>
      </w:r>
      <w:r w:rsidR="00B05474">
        <w:t xml:space="preserve">, with measurement period of </w:t>
      </w:r>
      <w:r w:rsidR="00B05474" w:rsidRPr="003031FB">
        <w:t>T</w:t>
      </w:r>
      <w:r w:rsidR="00B05474" w:rsidRPr="003031FB">
        <w:rPr>
          <w:vertAlign w:val="subscript"/>
        </w:rPr>
        <w:t>measure_scc</w:t>
      </w:r>
      <w:r w:rsidR="00B05474">
        <w:t xml:space="preserve"> =max(</w:t>
      </w:r>
      <w:r w:rsidR="00B05474" w:rsidRPr="003031FB">
        <w:t>5</w:t>
      </w:r>
      <w:r w:rsidR="00B05474">
        <w:t xml:space="preserve"> x</w:t>
      </w:r>
      <w:r w:rsidR="00B05474" w:rsidRPr="003031FB">
        <w:t xml:space="preserve"> </w:t>
      </w:r>
      <w:r w:rsidR="00B05474" w:rsidRPr="003031FB">
        <w:rPr>
          <w:i/>
        </w:rPr>
        <w:t>measCycleSCell</w:t>
      </w:r>
      <w:r w:rsidR="00B05474" w:rsidRPr="003031FB">
        <w:t>, T</w:t>
      </w:r>
      <w:r w:rsidR="00B05474" w:rsidRPr="003031FB">
        <w:rPr>
          <w:vertAlign w:val="subscript"/>
        </w:rPr>
        <w:t>measure_scc1</w:t>
      </w:r>
      <w:r w:rsidR="00B05474" w:rsidRPr="003031FB">
        <w:t>)</w:t>
      </w:r>
      <w:r w:rsidR="00B05474">
        <w:t xml:space="preserve">, where </w:t>
      </w:r>
      <w:r w:rsidR="00B05474" w:rsidRPr="003031FB">
        <w:t>T</w:t>
      </w:r>
      <w:r w:rsidR="00B05474" w:rsidRPr="003031FB">
        <w:rPr>
          <w:vertAlign w:val="subscript"/>
        </w:rPr>
        <w:t>measure_scc1</w:t>
      </w:r>
      <w:r w:rsidR="00B05474">
        <w:rPr>
          <w:vertAlign w:val="subscript"/>
        </w:rPr>
        <w:t xml:space="preserve"> </w:t>
      </w:r>
      <w:r w:rsidR="00B05474" w:rsidRPr="003031FB">
        <w:t>is given</w:t>
      </w:r>
      <w:r w:rsidR="00B05474">
        <w:t xml:space="preserve"> by </w:t>
      </w:r>
      <w:r w:rsidR="00B05474">
        <w:fldChar w:fldCharType="begin"/>
      </w:r>
      <w:r w:rsidR="00B05474">
        <w:instrText xml:space="preserve"> REF _Ref498327580 \h </w:instrText>
      </w:r>
      <w:r w:rsidR="00B05474">
        <w:fldChar w:fldCharType="separate"/>
      </w:r>
      <w:r w:rsidR="00B05474">
        <w:t xml:space="preserve">Table </w:t>
      </w:r>
      <w:r w:rsidR="00B05474">
        <w:rPr>
          <w:noProof/>
        </w:rPr>
        <w:t>2</w:t>
      </w:r>
      <w:r w:rsidR="00B05474">
        <w:fldChar w:fldCharType="end"/>
      </w:r>
      <w:r w:rsidR="00B05474">
        <w:t>.</w:t>
      </w:r>
      <w:r w:rsidR="000E2F1F">
        <w:t xml:space="preserve"> </w:t>
      </w:r>
      <w:r w:rsidR="00494ADB">
        <w:t xml:space="preserve">It is worth noting that if </w:t>
      </w:r>
      <w:r w:rsidR="00494ADB" w:rsidRPr="00494ADB">
        <w:rPr>
          <w:i/>
        </w:rPr>
        <w:t>measCycleSCell</w:t>
      </w:r>
      <w:r w:rsidR="00494ADB">
        <w:t xml:space="preserve"> is less than 640 subframes, then given that </w:t>
      </w:r>
      <w:bookmarkStart w:id="3" w:name="_Hlk498417508"/>
      <w:r w:rsidR="00494ADB" w:rsidRPr="00494ADB">
        <w:rPr>
          <w:i/>
        </w:rPr>
        <w:t>allowInterruptions</w:t>
      </w:r>
      <w:bookmarkEnd w:id="3"/>
      <w:r w:rsidR="00494ADB" w:rsidRPr="00494ADB">
        <w:rPr>
          <w:i/>
        </w:rPr>
        <w:t xml:space="preserve"> </w:t>
      </w:r>
      <w:r w:rsidR="00494ADB">
        <w:t xml:space="preserve">IE in </w:t>
      </w:r>
      <w:r w:rsidR="00494ADB" w:rsidRPr="00494ADB">
        <w:rPr>
          <w:i/>
        </w:rPr>
        <w:t>measObject</w:t>
      </w:r>
      <w:r w:rsidR="00494ADB">
        <w:t xml:space="preserve"> is set to true, the UE is allowed to cause interruptions to serving cells when performing such measurements for deactivated SCells. </w:t>
      </w:r>
      <w:r w:rsidR="00795412">
        <w:t xml:space="preserve">Measurement requirements for other RATs are </w:t>
      </w:r>
      <w:r w:rsidR="000E2F1F">
        <w:t>also</w:t>
      </w:r>
      <w:r w:rsidR="00795412">
        <w:t xml:space="preserve"> derived using </w:t>
      </w:r>
      <w:r w:rsidR="00795412" w:rsidRPr="000E2F1F">
        <w:rPr>
          <w:i/>
        </w:rPr>
        <w:t>measCycleSCell</w:t>
      </w:r>
      <w:r w:rsidR="00494ADB">
        <w:t xml:space="preserve">, see </w:t>
      </w:r>
      <w:r w:rsidR="00795412">
        <w:fldChar w:fldCharType="begin"/>
      </w:r>
      <w:r w:rsidR="00795412">
        <w:instrText xml:space="preserve"> REF _Ref477726095 \r \h </w:instrText>
      </w:r>
      <w:r w:rsidR="00795412">
        <w:fldChar w:fldCharType="separate"/>
      </w:r>
      <w:r w:rsidR="00795412">
        <w:t>[1]</w:t>
      </w:r>
      <w:r w:rsidR="00795412">
        <w:fldChar w:fldCharType="end"/>
      </w:r>
      <w:r w:rsidR="00494ADB">
        <w:t xml:space="preserve"> for more details</w:t>
      </w:r>
      <w:r w:rsidR="00795412">
        <w:t>.</w:t>
      </w:r>
      <w:r w:rsidR="000E2F1F">
        <w:t xml:space="preserve"> </w:t>
      </w:r>
    </w:p>
    <w:p w14:paraId="479C7C0B" w14:textId="77777777" w:rsidR="00B05474" w:rsidRDefault="00B05474" w:rsidP="00894E45">
      <w:pPr>
        <w:pStyle w:val="BodyText"/>
      </w:pPr>
    </w:p>
    <w:tbl>
      <w:tblPr>
        <w:tblStyle w:val="GridTable1Light"/>
        <w:tblW w:w="0" w:type="auto"/>
        <w:tblInd w:w="-5" w:type="dxa"/>
        <w:tblLook w:val="04A0" w:firstRow="1" w:lastRow="0" w:firstColumn="1" w:lastColumn="0" w:noHBand="0" w:noVBand="1"/>
      </w:tblPr>
      <w:tblGrid>
        <w:gridCol w:w="2552"/>
        <w:gridCol w:w="3402"/>
        <w:gridCol w:w="3576"/>
      </w:tblGrid>
      <w:tr w:rsidR="00D252CD" w14:paraId="142222A6" w14:textId="68C57CD0" w:rsidTr="00D252CD">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2B18111" w14:textId="29098014" w:rsidR="00D252CD" w:rsidRDefault="00D252CD" w:rsidP="00D252CD">
            <w:pPr>
              <w:pStyle w:val="BodyText"/>
              <w:jc w:val="center"/>
            </w:pPr>
            <w:r w:rsidRPr="003031FB">
              <w:rPr>
                <w:rFonts w:cs="Arial"/>
                <w:lang w:eastAsia="en-US"/>
              </w:rPr>
              <w:t>DRX cycle length (s)</w:t>
            </w:r>
          </w:p>
        </w:tc>
        <w:tc>
          <w:tcPr>
            <w:tcW w:w="3402" w:type="dxa"/>
          </w:tcPr>
          <w:p w14:paraId="1EB1554D" w14:textId="0EACCFDB" w:rsidR="00D252CD"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lang w:eastAsia="en-US"/>
              </w:rPr>
              <w:t>T</w:t>
            </w:r>
            <w:r w:rsidRPr="003031FB">
              <w:rPr>
                <w:rFonts w:cs="v4.2.0"/>
                <w:vertAlign w:val="subscript"/>
                <w:lang w:eastAsia="en-US"/>
              </w:rPr>
              <w:t>identify_scc1</w:t>
            </w:r>
            <w:r>
              <w:rPr>
                <w:rFonts w:cs="Arial"/>
                <w:lang w:eastAsia="en-US"/>
              </w:rPr>
              <w:t xml:space="preserve"> (s)</w:t>
            </w:r>
          </w:p>
        </w:tc>
        <w:tc>
          <w:tcPr>
            <w:tcW w:w="3576" w:type="dxa"/>
          </w:tcPr>
          <w:p w14:paraId="7B522ED8" w14:textId="55827F0F" w:rsidR="00D252CD" w:rsidRPr="003031FB" w:rsidRDefault="00D252CD" w:rsidP="00D252CD">
            <w:pPr>
              <w:pStyle w:val="BodyText"/>
              <w:jc w:val="center"/>
              <w:cnfStyle w:val="100000000000" w:firstRow="1" w:lastRow="0" w:firstColumn="0" w:lastColumn="0" w:oddVBand="0" w:evenVBand="0" w:oddHBand="0" w:evenHBand="0" w:firstRowFirstColumn="0" w:firstRowLastColumn="0" w:lastRowFirstColumn="0" w:lastRowLastColumn="0"/>
              <w:rPr>
                <w:rFonts w:cs="v4.2.0"/>
                <w:lang w:eastAsia="en-US"/>
              </w:rPr>
            </w:pPr>
            <w:r w:rsidRPr="003031FB">
              <w:rPr>
                <w:rFonts w:cs="Arial"/>
                <w:lang w:eastAsia="en-US"/>
              </w:rPr>
              <w:t>DRX cycles</w:t>
            </w:r>
          </w:p>
        </w:tc>
      </w:tr>
      <w:tr w:rsidR="00D252CD" w14:paraId="181C3747" w14:textId="1ADC1B44"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7C97EC34" w14:textId="70A45F29" w:rsidR="00D252CD" w:rsidRPr="00D252CD" w:rsidRDefault="00D252CD" w:rsidP="00D252CD">
            <w:pPr>
              <w:pStyle w:val="BodyText"/>
              <w:jc w:val="center"/>
              <w:rPr>
                <w:b w:val="0"/>
              </w:rPr>
            </w:pPr>
            <w:r w:rsidRPr="00D252CD">
              <w:rPr>
                <w:rFonts w:cs="Arial"/>
                <w:b w:val="0"/>
                <w:lang w:eastAsia="en-US"/>
              </w:rPr>
              <w:t>≤</w:t>
            </w:r>
            <w:r>
              <w:rPr>
                <w:rFonts w:cs="Arial"/>
                <w:b w:val="0"/>
                <w:lang w:eastAsia="en-US"/>
              </w:rPr>
              <w:t xml:space="preserve"> </w:t>
            </w:r>
            <w:r w:rsidRPr="00D252CD">
              <w:rPr>
                <w:rFonts w:cs="Arial"/>
                <w:b w:val="0"/>
                <w:lang w:eastAsia="en-US"/>
              </w:rPr>
              <w:t>0.04</w:t>
            </w:r>
          </w:p>
        </w:tc>
        <w:tc>
          <w:tcPr>
            <w:tcW w:w="3402" w:type="dxa"/>
          </w:tcPr>
          <w:p w14:paraId="6B4D860B" w14:textId="36D3375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lang w:eastAsia="en-US"/>
              </w:rPr>
              <w:t>0.8</w:t>
            </w:r>
          </w:p>
        </w:tc>
        <w:tc>
          <w:tcPr>
            <w:tcW w:w="3576" w:type="dxa"/>
          </w:tcPr>
          <w:p w14:paraId="090ED0DB" w14:textId="037A5E68" w:rsidR="00D252CD" w:rsidRPr="003031FB" w:rsidRDefault="00B05474"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D</w:t>
            </w:r>
            <w:r w:rsidR="00D252CD" w:rsidRPr="003031FB">
              <w:rPr>
                <w:rFonts w:cs="Arial"/>
                <w:lang w:eastAsia="en-US"/>
              </w:rPr>
              <w:t xml:space="preserve">epends </w:t>
            </w:r>
            <w:r w:rsidR="00D252CD">
              <w:rPr>
                <w:rFonts w:cs="Arial"/>
                <w:lang w:eastAsia="en-US"/>
              </w:rPr>
              <w:t>on</w:t>
            </w:r>
            <w:r w:rsidR="00D252CD" w:rsidRPr="003031FB">
              <w:rPr>
                <w:rFonts w:cs="Arial"/>
                <w:lang w:eastAsia="en-US"/>
              </w:rPr>
              <w:t xml:space="preserve"> the DRX cycle in use</w:t>
            </w:r>
          </w:p>
        </w:tc>
      </w:tr>
      <w:tr w:rsidR="00D252CD" w14:paraId="2FC13438" w14:textId="186F0A2C"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D816C33" w14:textId="5D67100D" w:rsidR="00D252CD" w:rsidRPr="00D252CD" w:rsidRDefault="00D252CD" w:rsidP="00D252CD">
            <w:pPr>
              <w:pStyle w:val="BodyText"/>
              <w:jc w:val="center"/>
              <w:rPr>
                <w:b w:val="0"/>
              </w:rPr>
            </w:pPr>
            <w:r w:rsidRPr="00D252CD">
              <w:rPr>
                <w:rFonts w:cs="Arial"/>
                <w:b w:val="0"/>
                <w:lang w:eastAsia="en-US"/>
              </w:rPr>
              <w:t>0.04</w:t>
            </w:r>
            <w:r>
              <w:rPr>
                <w:rFonts w:cs="Arial"/>
                <w:b w:val="0"/>
                <w:lang w:eastAsia="en-US"/>
              </w:rPr>
              <w:t xml:space="preserve"> </w:t>
            </w:r>
            <w:r w:rsidRPr="00D252CD">
              <w:rPr>
                <w:rFonts w:cs="Arial"/>
                <w:b w:val="0"/>
                <w:lang w:eastAsia="en-US"/>
              </w:rPr>
              <w:t>&lt;</w:t>
            </w:r>
            <w:r>
              <w:rPr>
                <w:rFonts w:cs="Arial"/>
                <w:b w:val="0"/>
                <w:lang w:eastAsia="en-US"/>
              </w:rPr>
              <w:t xml:space="preserve"> </w:t>
            </w:r>
            <w:r w:rsidRPr="00D252CD">
              <w:rPr>
                <w:rFonts w:cs="Arial"/>
                <w:b w:val="0"/>
                <w:lang w:eastAsia="en-US"/>
              </w:rPr>
              <w:t>DRX-cycle</w:t>
            </w:r>
            <w:r>
              <w:rPr>
                <w:rFonts w:cs="Arial"/>
                <w:b w:val="0"/>
                <w:lang w:eastAsia="en-US"/>
              </w:rPr>
              <w:t xml:space="preserve"> </w:t>
            </w:r>
            <w:r w:rsidRPr="00D252CD">
              <w:rPr>
                <w:rFonts w:cs="Arial"/>
                <w:b w:val="0"/>
                <w:lang w:eastAsia="en-US"/>
              </w:rPr>
              <w:t>≤</w:t>
            </w:r>
            <w:r>
              <w:rPr>
                <w:rFonts w:cs="Arial"/>
                <w:b w:val="0"/>
                <w:lang w:eastAsia="en-US"/>
              </w:rPr>
              <w:t xml:space="preserve"> </w:t>
            </w:r>
            <w:r w:rsidRPr="00D252CD">
              <w:rPr>
                <w:rFonts w:cs="Arial"/>
                <w:b w:val="0"/>
                <w:lang w:eastAsia="en-US"/>
              </w:rPr>
              <w:t>0.08</w:t>
            </w:r>
          </w:p>
        </w:tc>
        <w:tc>
          <w:tcPr>
            <w:tcW w:w="3402" w:type="dxa"/>
          </w:tcPr>
          <w:p w14:paraId="392085FE" w14:textId="1279C421"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lang w:eastAsia="en-US"/>
              </w:rPr>
              <w:t xml:space="preserve">Time depends </w:t>
            </w:r>
            <w:r>
              <w:rPr>
                <w:rFonts w:cs="Arial"/>
                <w:lang w:eastAsia="en-US"/>
              </w:rPr>
              <w:t xml:space="preserve">on </w:t>
            </w:r>
            <w:r w:rsidRPr="003031FB">
              <w:rPr>
                <w:rFonts w:cs="Arial"/>
                <w:lang w:eastAsia="en-US"/>
              </w:rPr>
              <w:t>DRX cycle in use</w:t>
            </w:r>
          </w:p>
        </w:tc>
        <w:tc>
          <w:tcPr>
            <w:tcW w:w="3576" w:type="dxa"/>
          </w:tcPr>
          <w:p w14:paraId="76E5FEB1" w14:textId="0FE4E1D9"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40</w:t>
            </w:r>
          </w:p>
        </w:tc>
      </w:tr>
      <w:tr w:rsidR="00D252CD" w14:paraId="209C3884" w14:textId="7068BBCB" w:rsidTr="00D252CD">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21FD251B" w14:textId="48626AEB" w:rsidR="00D252CD" w:rsidRPr="00D252CD" w:rsidRDefault="00D252CD" w:rsidP="00D252CD">
            <w:pPr>
              <w:pStyle w:val="BodyText"/>
              <w:jc w:val="center"/>
              <w:rPr>
                <w:b w:val="0"/>
              </w:rPr>
            </w:pPr>
            <w:r w:rsidRPr="00D252CD">
              <w:rPr>
                <w:rFonts w:cs="Arial"/>
                <w:b w:val="0"/>
                <w:lang w:eastAsia="en-US"/>
              </w:rPr>
              <w:t>0.128</w:t>
            </w:r>
          </w:p>
        </w:tc>
        <w:tc>
          <w:tcPr>
            <w:tcW w:w="3402" w:type="dxa"/>
          </w:tcPr>
          <w:p w14:paraId="078551B5" w14:textId="40DC5BE0"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lang w:eastAsia="en-US"/>
              </w:rPr>
              <w:t>3.2</w:t>
            </w:r>
          </w:p>
        </w:tc>
        <w:tc>
          <w:tcPr>
            <w:tcW w:w="3576" w:type="dxa"/>
          </w:tcPr>
          <w:p w14:paraId="7CF93F5F" w14:textId="73CA75BF"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t>25</w:t>
            </w:r>
          </w:p>
        </w:tc>
      </w:tr>
      <w:tr w:rsidR="00D252CD" w14:paraId="6C554FDD" w14:textId="01011D9F"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2430D66E" w14:textId="36E617EC" w:rsidR="00D252CD" w:rsidRPr="00D252CD" w:rsidRDefault="00D252CD" w:rsidP="00D252CD">
            <w:pPr>
              <w:pStyle w:val="BodyText"/>
              <w:jc w:val="center"/>
              <w:rPr>
                <w:b w:val="0"/>
              </w:rPr>
            </w:pPr>
            <w:r w:rsidRPr="00D252CD">
              <w:rPr>
                <w:rFonts w:cs="Arial"/>
                <w:b w:val="0"/>
                <w:lang w:eastAsia="en-US"/>
              </w:rPr>
              <w:t>0.128</w:t>
            </w:r>
            <w:r>
              <w:rPr>
                <w:rFonts w:cs="Arial"/>
                <w:b w:val="0"/>
                <w:lang w:eastAsia="en-US"/>
              </w:rPr>
              <w:t xml:space="preserve"> </w:t>
            </w:r>
            <w:r w:rsidRPr="00D252CD">
              <w:rPr>
                <w:rFonts w:cs="Arial"/>
                <w:b w:val="0"/>
                <w:lang w:eastAsia="en-US"/>
              </w:rPr>
              <w:t>&lt;</w:t>
            </w:r>
            <w:r>
              <w:rPr>
                <w:rFonts w:cs="Arial"/>
                <w:b w:val="0"/>
                <w:lang w:eastAsia="en-US"/>
              </w:rPr>
              <w:t xml:space="preserve"> </w:t>
            </w:r>
            <w:r w:rsidRPr="00D252CD">
              <w:rPr>
                <w:rFonts w:cs="Arial"/>
                <w:b w:val="0"/>
                <w:lang w:eastAsia="en-US"/>
              </w:rPr>
              <w:t>DRX-cycle</w:t>
            </w:r>
            <w:r>
              <w:rPr>
                <w:rFonts w:cs="Arial"/>
                <w:b w:val="0"/>
                <w:lang w:eastAsia="en-US"/>
              </w:rPr>
              <w:t xml:space="preserve"> </w:t>
            </w:r>
            <w:r w:rsidRPr="00D252CD">
              <w:rPr>
                <w:rFonts w:cs="Arial"/>
                <w:b w:val="0"/>
                <w:lang w:eastAsia="en-US"/>
              </w:rPr>
              <w:t>≤</w:t>
            </w:r>
            <w:r>
              <w:rPr>
                <w:rFonts w:cs="Arial"/>
                <w:b w:val="0"/>
                <w:lang w:eastAsia="en-US"/>
              </w:rPr>
              <w:t xml:space="preserve"> </w:t>
            </w:r>
            <w:r w:rsidRPr="00D252CD">
              <w:rPr>
                <w:rFonts w:cs="Arial"/>
                <w:b w:val="0"/>
                <w:lang w:eastAsia="en-US"/>
              </w:rPr>
              <w:t>2.56</w:t>
            </w:r>
          </w:p>
        </w:tc>
        <w:tc>
          <w:tcPr>
            <w:tcW w:w="3402" w:type="dxa"/>
          </w:tcPr>
          <w:p w14:paraId="009EEF77" w14:textId="60EFEC78"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lang w:eastAsia="en-US"/>
              </w:rPr>
              <w:t xml:space="preserve">Time depends </w:t>
            </w:r>
            <w:r>
              <w:rPr>
                <w:rFonts w:cs="Arial"/>
                <w:lang w:eastAsia="en-US"/>
              </w:rPr>
              <w:t xml:space="preserve">on </w:t>
            </w:r>
            <w:r w:rsidRPr="003031FB">
              <w:rPr>
                <w:rFonts w:cs="Arial"/>
                <w:lang w:eastAsia="en-US"/>
              </w:rPr>
              <w:t>DRX cycle in use</w:t>
            </w:r>
          </w:p>
        </w:tc>
        <w:tc>
          <w:tcPr>
            <w:tcW w:w="3576" w:type="dxa"/>
          </w:tcPr>
          <w:p w14:paraId="22DA04DA" w14:textId="7DB4571D" w:rsidR="00D252CD"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lang w:eastAsia="en-US"/>
              </w:rPr>
              <w:t>20</w:t>
            </w:r>
          </w:p>
        </w:tc>
      </w:tr>
      <w:tr w:rsidR="00D252CD" w14:paraId="09FAAA8E" w14:textId="77777777" w:rsidTr="00D252CD">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573AA48E" w14:textId="6FC02232" w:rsidR="00D252CD" w:rsidRPr="00D252CD" w:rsidRDefault="00D252CD" w:rsidP="00D252CD">
            <w:pPr>
              <w:pStyle w:val="BodyText"/>
              <w:jc w:val="center"/>
              <w:rPr>
                <w:rFonts w:cs="Arial"/>
                <w:b w:val="0"/>
                <w:lang w:eastAsia="en-US"/>
              </w:rPr>
            </w:pPr>
            <w:r>
              <w:rPr>
                <w:rFonts w:cs="Arial"/>
                <w:b w:val="0"/>
                <w:lang w:eastAsia="en-US"/>
              </w:rPr>
              <w:t>No DRX</w:t>
            </w:r>
          </w:p>
        </w:tc>
        <w:tc>
          <w:tcPr>
            <w:tcW w:w="3402" w:type="dxa"/>
          </w:tcPr>
          <w:p w14:paraId="7FC7BAE4" w14:textId="18DE570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0</w:t>
            </w:r>
          </w:p>
        </w:tc>
        <w:tc>
          <w:tcPr>
            <w:tcW w:w="3576" w:type="dxa"/>
          </w:tcPr>
          <w:p w14:paraId="2C59BED5" w14:textId="4EA2D233" w:rsidR="00D252CD" w:rsidRPr="003031FB" w:rsidRDefault="00D252CD" w:rsidP="00D252CD">
            <w:pPr>
              <w:pStyle w:val="BodyText"/>
              <w:jc w:val="center"/>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Not applicable</w:t>
            </w:r>
          </w:p>
        </w:tc>
      </w:tr>
    </w:tbl>
    <w:p w14:paraId="646463FD" w14:textId="2394985D" w:rsidR="00D252CD" w:rsidRDefault="00B05474" w:rsidP="00B05474">
      <w:pPr>
        <w:pStyle w:val="Caption"/>
      </w:pPr>
      <w:bookmarkStart w:id="4" w:name="_Ref498327440"/>
      <w:r>
        <w:t xml:space="preserve">Table </w:t>
      </w:r>
      <w:r>
        <w:fldChar w:fldCharType="begin"/>
      </w:r>
      <w:r>
        <w:instrText xml:space="preserve"> SEQ Table \* ARABIC </w:instrText>
      </w:r>
      <w:r>
        <w:fldChar w:fldCharType="separate"/>
      </w:r>
      <w:r>
        <w:rPr>
          <w:noProof/>
        </w:rPr>
        <w:t>1</w:t>
      </w:r>
      <w:r>
        <w:fldChar w:fldCharType="end"/>
      </w:r>
      <w:bookmarkEnd w:id="4"/>
      <w:r>
        <w:t xml:space="preserve"> Measurement delay for a deactivated SCell</w:t>
      </w:r>
    </w:p>
    <w:p w14:paraId="16A5F471" w14:textId="77777777" w:rsidR="00B05474" w:rsidRPr="00B05474" w:rsidRDefault="00B05474" w:rsidP="00B05474"/>
    <w:tbl>
      <w:tblPr>
        <w:tblStyle w:val="GridTable1Light"/>
        <w:tblW w:w="0" w:type="auto"/>
        <w:tblInd w:w="-5" w:type="dxa"/>
        <w:tblLook w:val="04A0" w:firstRow="1" w:lastRow="0" w:firstColumn="1" w:lastColumn="0" w:noHBand="0" w:noVBand="1"/>
      </w:tblPr>
      <w:tblGrid>
        <w:gridCol w:w="2552"/>
        <w:gridCol w:w="3402"/>
        <w:gridCol w:w="3576"/>
      </w:tblGrid>
      <w:tr w:rsidR="00B05474" w14:paraId="61BC3017" w14:textId="77777777" w:rsidTr="0088340E">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552" w:type="dxa"/>
          </w:tcPr>
          <w:p w14:paraId="03CF54EF" w14:textId="77777777" w:rsidR="00B05474" w:rsidRDefault="00B05474" w:rsidP="0088340E">
            <w:pPr>
              <w:pStyle w:val="BodyText"/>
              <w:jc w:val="center"/>
            </w:pPr>
            <w:r w:rsidRPr="003031FB">
              <w:rPr>
                <w:rFonts w:cs="Arial"/>
                <w:lang w:eastAsia="en-US"/>
              </w:rPr>
              <w:t>DRX cycle length (s)</w:t>
            </w:r>
          </w:p>
        </w:tc>
        <w:tc>
          <w:tcPr>
            <w:tcW w:w="3402" w:type="dxa"/>
          </w:tcPr>
          <w:p w14:paraId="43FA1A48" w14:textId="77777777" w:rsidR="00B05474"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pPr>
            <w:r w:rsidRPr="003031FB">
              <w:rPr>
                <w:rFonts w:cs="v4.2.0"/>
                <w:lang w:eastAsia="en-US"/>
              </w:rPr>
              <w:t>T</w:t>
            </w:r>
            <w:r w:rsidRPr="003031FB">
              <w:rPr>
                <w:rFonts w:cs="v4.2.0"/>
                <w:vertAlign w:val="subscript"/>
                <w:lang w:eastAsia="en-US"/>
              </w:rPr>
              <w:t>identify_scc1</w:t>
            </w:r>
            <w:r>
              <w:rPr>
                <w:rFonts w:cs="Arial"/>
                <w:lang w:eastAsia="en-US"/>
              </w:rPr>
              <w:t xml:space="preserve"> (s)</w:t>
            </w:r>
          </w:p>
        </w:tc>
        <w:tc>
          <w:tcPr>
            <w:tcW w:w="3576" w:type="dxa"/>
          </w:tcPr>
          <w:p w14:paraId="6CCF249B" w14:textId="77777777" w:rsidR="00B05474" w:rsidRPr="003031FB" w:rsidRDefault="00B05474" w:rsidP="0088340E">
            <w:pPr>
              <w:pStyle w:val="BodyText"/>
              <w:jc w:val="center"/>
              <w:cnfStyle w:val="100000000000" w:firstRow="1" w:lastRow="0" w:firstColumn="0" w:lastColumn="0" w:oddVBand="0" w:evenVBand="0" w:oddHBand="0" w:evenHBand="0" w:firstRowFirstColumn="0" w:firstRowLastColumn="0" w:lastRowFirstColumn="0" w:lastRowLastColumn="0"/>
              <w:rPr>
                <w:rFonts w:cs="v4.2.0"/>
                <w:lang w:eastAsia="en-US"/>
              </w:rPr>
            </w:pPr>
            <w:r w:rsidRPr="003031FB">
              <w:rPr>
                <w:rFonts w:cs="Arial"/>
                <w:lang w:eastAsia="en-US"/>
              </w:rPr>
              <w:t>DRX cycles</w:t>
            </w:r>
          </w:p>
        </w:tc>
      </w:tr>
      <w:tr w:rsidR="00B05474" w14:paraId="08BDDD0B"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0B8DBDD9" w14:textId="77777777" w:rsidR="00B05474" w:rsidRPr="00D252CD" w:rsidRDefault="00B05474" w:rsidP="0088340E">
            <w:pPr>
              <w:pStyle w:val="BodyText"/>
              <w:jc w:val="center"/>
              <w:rPr>
                <w:b w:val="0"/>
              </w:rPr>
            </w:pPr>
            <w:r w:rsidRPr="00D252CD">
              <w:rPr>
                <w:rFonts w:cs="Arial"/>
                <w:b w:val="0"/>
                <w:lang w:eastAsia="en-US"/>
              </w:rPr>
              <w:t>≤</w:t>
            </w:r>
            <w:r>
              <w:rPr>
                <w:rFonts w:cs="Arial"/>
                <w:b w:val="0"/>
                <w:lang w:eastAsia="en-US"/>
              </w:rPr>
              <w:t xml:space="preserve"> </w:t>
            </w:r>
            <w:r w:rsidRPr="00D252CD">
              <w:rPr>
                <w:rFonts w:cs="Arial"/>
                <w:b w:val="0"/>
                <w:lang w:eastAsia="en-US"/>
              </w:rPr>
              <w:t>0.04</w:t>
            </w:r>
          </w:p>
        </w:tc>
        <w:tc>
          <w:tcPr>
            <w:tcW w:w="3402" w:type="dxa"/>
          </w:tcPr>
          <w:p w14:paraId="57B8D8FD" w14:textId="36C1D9A5"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lang w:eastAsia="en-US"/>
              </w:rPr>
              <w:t>0.2</w:t>
            </w:r>
          </w:p>
        </w:tc>
        <w:tc>
          <w:tcPr>
            <w:tcW w:w="3576" w:type="dxa"/>
          </w:tcPr>
          <w:p w14:paraId="696953B9" w14:textId="1D6D2DB0"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D</w:t>
            </w:r>
            <w:r w:rsidRPr="003031FB">
              <w:rPr>
                <w:rFonts w:cs="Arial"/>
                <w:lang w:eastAsia="en-US"/>
              </w:rPr>
              <w:t xml:space="preserve">epends </w:t>
            </w:r>
            <w:r>
              <w:rPr>
                <w:rFonts w:cs="Arial"/>
                <w:lang w:eastAsia="en-US"/>
              </w:rPr>
              <w:t>on</w:t>
            </w:r>
            <w:r w:rsidRPr="003031FB">
              <w:rPr>
                <w:rFonts w:cs="Arial"/>
                <w:lang w:eastAsia="en-US"/>
              </w:rPr>
              <w:t xml:space="preserve"> the DRX cycle in use</w:t>
            </w:r>
          </w:p>
        </w:tc>
      </w:tr>
      <w:tr w:rsidR="00B05474" w14:paraId="17FCE7E5" w14:textId="77777777" w:rsidTr="0088340E">
        <w:trPr>
          <w:trHeight w:val="345"/>
        </w:trPr>
        <w:tc>
          <w:tcPr>
            <w:cnfStyle w:val="001000000000" w:firstRow="0" w:lastRow="0" w:firstColumn="1" w:lastColumn="0" w:oddVBand="0" w:evenVBand="0" w:oddHBand="0" w:evenHBand="0" w:firstRowFirstColumn="0" w:firstRowLastColumn="0" w:lastRowFirstColumn="0" w:lastRowLastColumn="0"/>
            <w:tcW w:w="2552" w:type="dxa"/>
          </w:tcPr>
          <w:p w14:paraId="76D593A2" w14:textId="3ACB9F2F" w:rsidR="00B05474" w:rsidRPr="00D252CD" w:rsidRDefault="00B05474" w:rsidP="0088340E">
            <w:pPr>
              <w:pStyle w:val="BodyText"/>
              <w:jc w:val="center"/>
              <w:rPr>
                <w:b w:val="0"/>
              </w:rPr>
            </w:pPr>
            <w:r w:rsidRPr="00D252CD">
              <w:rPr>
                <w:rFonts w:cs="Arial"/>
                <w:b w:val="0"/>
                <w:lang w:eastAsia="en-US"/>
              </w:rPr>
              <w:lastRenderedPageBreak/>
              <w:t>0.04</w:t>
            </w:r>
            <w:r>
              <w:rPr>
                <w:rFonts w:cs="Arial"/>
                <w:b w:val="0"/>
                <w:lang w:eastAsia="en-US"/>
              </w:rPr>
              <w:t xml:space="preserve"> </w:t>
            </w:r>
            <w:r w:rsidRPr="00D252CD">
              <w:rPr>
                <w:rFonts w:cs="Arial"/>
                <w:b w:val="0"/>
                <w:lang w:eastAsia="en-US"/>
              </w:rPr>
              <w:t>&lt;</w:t>
            </w:r>
            <w:r>
              <w:rPr>
                <w:rFonts w:cs="Arial"/>
                <w:b w:val="0"/>
                <w:lang w:eastAsia="en-US"/>
              </w:rPr>
              <w:t xml:space="preserve"> </w:t>
            </w:r>
            <w:r w:rsidRPr="00D252CD">
              <w:rPr>
                <w:rFonts w:cs="Arial"/>
                <w:b w:val="0"/>
                <w:lang w:eastAsia="en-US"/>
              </w:rPr>
              <w:t>DRX-cycle</w:t>
            </w:r>
            <w:r>
              <w:rPr>
                <w:rFonts w:cs="Arial"/>
                <w:b w:val="0"/>
                <w:lang w:eastAsia="en-US"/>
              </w:rPr>
              <w:t xml:space="preserve"> </w:t>
            </w:r>
            <w:r w:rsidRPr="00D252CD">
              <w:rPr>
                <w:rFonts w:cs="Arial"/>
                <w:b w:val="0"/>
                <w:lang w:eastAsia="en-US"/>
              </w:rPr>
              <w:t>≤</w:t>
            </w:r>
            <w:r>
              <w:rPr>
                <w:rFonts w:cs="Arial"/>
                <w:b w:val="0"/>
                <w:lang w:eastAsia="en-US"/>
              </w:rPr>
              <w:t xml:space="preserve"> 2.56</w:t>
            </w:r>
          </w:p>
        </w:tc>
        <w:tc>
          <w:tcPr>
            <w:tcW w:w="3402" w:type="dxa"/>
          </w:tcPr>
          <w:p w14:paraId="7A8DA73B" w14:textId="7777777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sidRPr="003031FB">
              <w:rPr>
                <w:rFonts w:cs="Arial"/>
                <w:lang w:eastAsia="en-US"/>
              </w:rPr>
              <w:t xml:space="preserve">Time depends </w:t>
            </w:r>
            <w:r>
              <w:rPr>
                <w:rFonts w:cs="Arial"/>
                <w:lang w:eastAsia="en-US"/>
              </w:rPr>
              <w:t xml:space="preserve">on </w:t>
            </w:r>
            <w:r w:rsidRPr="003031FB">
              <w:rPr>
                <w:rFonts w:cs="Arial"/>
                <w:lang w:eastAsia="en-US"/>
              </w:rPr>
              <w:t>DRX cycle in use</w:t>
            </w:r>
          </w:p>
        </w:tc>
        <w:tc>
          <w:tcPr>
            <w:tcW w:w="3576" w:type="dxa"/>
          </w:tcPr>
          <w:p w14:paraId="27558C87" w14:textId="632F57FB" w:rsidR="00B05474" w:rsidRPr="003031FB"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rPr>
                <w:rFonts w:cs="Arial"/>
                <w:lang w:eastAsia="en-US"/>
              </w:rPr>
            </w:pPr>
            <w:r>
              <w:rPr>
                <w:rFonts w:cs="Arial"/>
                <w:lang w:eastAsia="en-US"/>
              </w:rPr>
              <w:t>5</w:t>
            </w:r>
          </w:p>
        </w:tc>
      </w:tr>
      <w:tr w:rsidR="00B05474" w14:paraId="1C9AF0EE" w14:textId="77777777" w:rsidTr="0088340E">
        <w:trPr>
          <w:trHeight w:val="356"/>
        </w:trPr>
        <w:tc>
          <w:tcPr>
            <w:cnfStyle w:val="001000000000" w:firstRow="0" w:lastRow="0" w:firstColumn="1" w:lastColumn="0" w:oddVBand="0" w:evenVBand="0" w:oddHBand="0" w:evenHBand="0" w:firstRowFirstColumn="0" w:firstRowLastColumn="0" w:lastRowFirstColumn="0" w:lastRowLastColumn="0"/>
            <w:tcW w:w="2552" w:type="dxa"/>
          </w:tcPr>
          <w:p w14:paraId="5C58EF4B" w14:textId="2ED4C313" w:rsidR="00B05474" w:rsidRPr="00D252CD" w:rsidRDefault="00B05474" w:rsidP="0088340E">
            <w:pPr>
              <w:pStyle w:val="BodyText"/>
              <w:jc w:val="center"/>
              <w:rPr>
                <w:b w:val="0"/>
              </w:rPr>
            </w:pPr>
            <w:r>
              <w:rPr>
                <w:rFonts w:cs="Arial"/>
                <w:b w:val="0"/>
                <w:lang w:eastAsia="en-US"/>
              </w:rPr>
              <w:t>No DRX</w:t>
            </w:r>
          </w:p>
        </w:tc>
        <w:tc>
          <w:tcPr>
            <w:tcW w:w="3402" w:type="dxa"/>
          </w:tcPr>
          <w:p w14:paraId="5AE0E570" w14:textId="5750BE3C"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rPr>
                <w:rFonts w:cs="Arial"/>
                <w:lang w:eastAsia="en-US"/>
              </w:rPr>
              <w:t>0</w:t>
            </w:r>
          </w:p>
        </w:tc>
        <w:tc>
          <w:tcPr>
            <w:tcW w:w="3576" w:type="dxa"/>
          </w:tcPr>
          <w:p w14:paraId="00CEE7B0" w14:textId="6447E3B7" w:rsidR="00B05474" w:rsidRDefault="00B05474" w:rsidP="0088340E">
            <w:pPr>
              <w:pStyle w:val="BodyText"/>
              <w:jc w:val="center"/>
              <w:cnfStyle w:val="000000000000" w:firstRow="0" w:lastRow="0" w:firstColumn="0" w:lastColumn="0" w:oddVBand="0" w:evenVBand="0" w:oddHBand="0" w:evenHBand="0" w:firstRowFirstColumn="0" w:firstRowLastColumn="0" w:lastRowFirstColumn="0" w:lastRowLastColumn="0"/>
            </w:pPr>
            <w:r>
              <w:t>Not applicable</w:t>
            </w:r>
          </w:p>
        </w:tc>
      </w:tr>
    </w:tbl>
    <w:p w14:paraId="117CFD43" w14:textId="744A5E95" w:rsidR="00894E45" w:rsidRDefault="00B05474" w:rsidP="00B05474">
      <w:pPr>
        <w:pStyle w:val="Caption"/>
      </w:pPr>
      <w:bookmarkStart w:id="5" w:name="_Ref498327580"/>
      <w:r>
        <w:t xml:space="preserve">Table </w:t>
      </w:r>
      <w:r>
        <w:fldChar w:fldCharType="begin"/>
      </w:r>
      <w:r>
        <w:instrText xml:space="preserve"> SEQ Table \* ARABIC </w:instrText>
      </w:r>
      <w:r>
        <w:fldChar w:fldCharType="separate"/>
      </w:r>
      <w:r>
        <w:rPr>
          <w:noProof/>
        </w:rPr>
        <w:t>2</w:t>
      </w:r>
      <w:r>
        <w:fldChar w:fldCharType="end"/>
      </w:r>
      <w:bookmarkEnd w:id="5"/>
      <w:r>
        <w:t xml:space="preserve"> Measurement period for a deactivated SCell</w:t>
      </w:r>
    </w:p>
    <w:p w14:paraId="481D9570" w14:textId="77777777" w:rsidR="00894E45" w:rsidRDefault="00894E45" w:rsidP="006153EA"/>
    <w:p w14:paraId="3DBE4F86" w14:textId="77777777" w:rsidR="00894E45" w:rsidRDefault="00894E45" w:rsidP="006153EA"/>
    <w:p w14:paraId="63815C35" w14:textId="77777777" w:rsidR="00894E45" w:rsidRDefault="00894E45" w:rsidP="006153EA"/>
    <w:p w14:paraId="19B70340" w14:textId="28D6374F" w:rsidR="009C167A" w:rsidRPr="009C167A" w:rsidRDefault="009C167A" w:rsidP="006153EA">
      <w:r>
        <w:t xml:space="preserve"> </w:t>
      </w:r>
    </w:p>
    <w:p w14:paraId="1FB8B6DB" w14:textId="28ABA194" w:rsidR="00C408FB" w:rsidRDefault="00D54157" w:rsidP="006153EA">
      <w:pPr>
        <w:pStyle w:val="Observation"/>
        <w:numPr>
          <w:ilvl w:val="0"/>
          <w:numId w:val="15"/>
        </w:numPr>
        <w:ind w:left="1701" w:hanging="1701"/>
        <w:textAlignment w:val="auto"/>
        <w:rPr>
          <w:lang w:val="en-US"/>
        </w:rPr>
      </w:pPr>
      <w:bookmarkStart w:id="6" w:name="_Toc461514225"/>
      <w:bookmarkStart w:id="7" w:name="_Toc463000883"/>
      <w:bookmarkStart w:id="8" w:name="_Toc463001397"/>
      <w:bookmarkStart w:id="9" w:name="_Toc463013022"/>
      <w:bookmarkStart w:id="10" w:name="_Toc463030102"/>
      <w:bookmarkStart w:id="11" w:name="_Toc463053252"/>
      <w:bookmarkStart w:id="12" w:name="_Toc463053289"/>
      <w:bookmarkStart w:id="13" w:name="_Toc466011539"/>
      <w:bookmarkStart w:id="14" w:name="_Toc471485785"/>
      <w:bookmarkStart w:id="15" w:name="_Toc471486533"/>
      <w:bookmarkStart w:id="16" w:name="_Toc471492265"/>
      <w:bookmarkStart w:id="17" w:name="_Toc471499740"/>
      <w:bookmarkStart w:id="18" w:name="_Toc471501324"/>
      <w:bookmarkStart w:id="19" w:name="_Toc473532940"/>
      <w:bookmarkStart w:id="20" w:name="_Toc473533018"/>
      <w:bookmarkStart w:id="21" w:name="_Toc473533369"/>
      <w:bookmarkStart w:id="22" w:name="_Toc477726043"/>
      <w:bookmarkStart w:id="23" w:name="_Toc477972465"/>
      <w:bookmarkStart w:id="24" w:name="_Toc477972559"/>
      <w:bookmarkStart w:id="25" w:name="_Toc477973277"/>
      <w:bookmarkStart w:id="26" w:name="_Toc477973290"/>
      <w:bookmarkStart w:id="27" w:name="_Toc494304226"/>
      <w:bookmarkStart w:id="28" w:name="_Toc498328917"/>
      <w:r>
        <w:rPr>
          <w:lang w:val="en-US"/>
        </w:rPr>
        <w:t xml:space="preserve">In LTE, </w:t>
      </w:r>
      <w:r w:rsidR="00795412">
        <w:rPr>
          <w:lang w:val="en-US"/>
        </w:rPr>
        <w:t xml:space="preserve">RRC parameter </w:t>
      </w:r>
      <w:r w:rsidR="00795412" w:rsidRPr="00795412">
        <w:rPr>
          <w:i/>
          <w:lang w:val="en-US"/>
        </w:rPr>
        <w:t>measCycleSCell</w:t>
      </w:r>
      <w:r w:rsidR="00795412">
        <w:rPr>
          <w:lang w:val="en-US"/>
        </w:rPr>
        <w:t xml:space="preserve"> is used to control measurement requirements of deactivated secondary component carriers</w:t>
      </w:r>
      <w:r>
        <w:rPr>
          <w:lang w:val="en-US"/>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456CE5" w14:textId="77777777" w:rsidR="000E2F1F" w:rsidRDefault="000E2F1F" w:rsidP="00795412">
      <w:pPr>
        <w:pStyle w:val="Observation"/>
        <w:numPr>
          <w:ilvl w:val="0"/>
          <w:numId w:val="0"/>
        </w:numPr>
        <w:textAlignment w:val="auto"/>
        <w:rPr>
          <w:b w:val="0"/>
          <w:lang w:val="en-US"/>
        </w:rPr>
      </w:pPr>
      <w:bookmarkStart w:id="29" w:name="_Toc498328918"/>
    </w:p>
    <w:p w14:paraId="765F9A04" w14:textId="15E5D562" w:rsidR="00795412" w:rsidRPr="00795412" w:rsidRDefault="00795412" w:rsidP="00795412">
      <w:pPr>
        <w:pStyle w:val="Observation"/>
        <w:numPr>
          <w:ilvl w:val="0"/>
          <w:numId w:val="0"/>
        </w:numPr>
        <w:textAlignment w:val="auto"/>
        <w:rPr>
          <w:b w:val="0"/>
          <w:lang w:val="en-US"/>
        </w:rPr>
      </w:pPr>
      <w:r>
        <w:rPr>
          <w:b w:val="0"/>
          <w:lang w:val="en-US"/>
        </w:rPr>
        <w:t>Given the benefits of being able to activate/deactivate a secondary component carrier</w:t>
      </w:r>
      <w:r w:rsidR="002E25FD">
        <w:rPr>
          <w:b w:val="0"/>
          <w:lang w:val="en-US"/>
        </w:rPr>
        <w:t>(s),</w:t>
      </w:r>
      <w:r>
        <w:rPr>
          <w:b w:val="0"/>
          <w:lang w:val="en-US"/>
        </w:rPr>
        <w:t xml:space="preserve"> </w:t>
      </w:r>
      <w:r w:rsidR="002E25FD">
        <w:rPr>
          <w:b w:val="0"/>
          <w:lang w:val="en-US"/>
        </w:rPr>
        <w:t>i</w:t>
      </w:r>
      <w:r>
        <w:rPr>
          <w:b w:val="0"/>
          <w:lang w:val="en-US"/>
        </w:rPr>
        <w:t>t is believed that th</w:t>
      </w:r>
      <w:r w:rsidR="002E25FD">
        <w:rPr>
          <w:b w:val="0"/>
          <w:lang w:val="en-US"/>
        </w:rPr>
        <w:t xml:space="preserve">is concept will be supported in NR too. Moreover, since using a single RRC parameter to control the UE behavior in measuring the deactivated secondary component carriers, i.e. via </w:t>
      </w:r>
      <w:r w:rsidR="002E25FD" w:rsidRPr="002E25FD">
        <w:rPr>
          <w:b w:val="0"/>
          <w:i/>
          <w:lang w:val="en-US"/>
        </w:rPr>
        <w:t>measCycleSCell</w:t>
      </w:r>
      <w:r w:rsidR="002E25FD">
        <w:rPr>
          <w:b w:val="0"/>
          <w:lang w:val="en-US"/>
        </w:rPr>
        <w:t>, seems very plausible, we propose to use similar procedures as in LTE also in NR for measurements of secondary component carrier(s).</w:t>
      </w:r>
      <w:bookmarkEnd w:id="29"/>
      <w:r w:rsidR="00494ADB">
        <w:rPr>
          <w:b w:val="0"/>
          <w:lang w:val="en-US"/>
        </w:rPr>
        <w:t xml:space="preserve"> </w:t>
      </w:r>
      <w:r w:rsidR="0066008F">
        <w:rPr>
          <w:b w:val="0"/>
          <w:lang w:val="en-US"/>
        </w:rPr>
        <w:t>The detai</w:t>
      </w:r>
      <w:r w:rsidR="00494ADB">
        <w:rPr>
          <w:b w:val="0"/>
          <w:lang w:val="en-US"/>
        </w:rPr>
        <w:t xml:space="preserve">ls on how to use this parameter, including the values and the relation to </w:t>
      </w:r>
      <w:r w:rsidR="00494ADB" w:rsidRPr="00494ADB">
        <w:rPr>
          <w:b w:val="0"/>
          <w:i/>
          <w:lang w:val="en-US"/>
        </w:rPr>
        <w:t>allowInterruptions</w:t>
      </w:r>
      <w:r w:rsidR="00494ADB" w:rsidRPr="00494ADB">
        <w:rPr>
          <w:b w:val="0"/>
          <w:lang w:val="en-US"/>
        </w:rPr>
        <w:t xml:space="preserve"> </w:t>
      </w:r>
      <w:r w:rsidR="0066008F">
        <w:rPr>
          <w:b w:val="0"/>
          <w:lang w:val="en-US"/>
        </w:rPr>
        <w:t>in different scenarios should be discussed in 3GPP and hence is for further studies.</w:t>
      </w:r>
    </w:p>
    <w:p w14:paraId="3017103C" w14:textId="645CDCFB" w:rsidR="006153EA" w:rsidRDefault="002E25FD" w:rsidP="006153EA">
      <w:pPr>
        <w:pStyle w:val="Proposal"/>
      </w:pPr>
      <w:bookmarkStart w:id="30" w:name="_Toc498328955"/>
      <w:r>
        <w:t xml:space="preserve">Define </w:t>
      </w:r>
      <w:r w:rsidRPr="0066008F">
        <w:rPr>
          <w:i/>
        </w:rPr>
        <w:t>measCycleSCell</w:t>
      </w:r>
      <w:r>
        <w:t xml:space="preserve"> in NR that can be used to configure the UE for measurements of deactivated secondary component carrier(s)</w:t>
      </w:r>
      <w:r w:rsidR="004A4487">
        <w:t>.</w:t>
      </w:r>
      <w:bookmarkEnd w:id="30"/>
    </w:p>
    <w:p w14:paraId="7E690B51" w14:textId="77777777" w:rsidR="00C01F33" w:rsidRPr="00CE0424" w:rsidRDefault="00C01F33" w:rsidP="00CE0424">
      <w:pPr>
        <w:pStyle w:val="Heading1"/>
      </w:pPr>
      <w:r w:rsidRPr="00CE0424">
        <w:t>Conclusion</w:t>
      </w:r>
    </w:p>
    <w:p w14:paraId="0960262C" w14:textId="77777777" w:rsidR="002E25FD"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w:t>
      </w:r>
      <w:r w:rsidR="002E25FD">
        <w:rPr>
          <w:b w:val="0"/>
        </w:rPr>
        <w:t xml:space="preserve"> made the following observation</w:t>
      </w:r>
      <w:r w:rsidRPr="00C628DF">
        <w:rPr>
          <w:b w:val="0"/>
        </w:rPr>
        <w:t>:</w:t>
      </w:r>
      <w:r>
        <w:rPr>
          <w:b w:val="0"/>
          <w:bCs/>
        </w:rPr>
        <w:fldChar w:fldCharType="begin"/>
      </w:r>
      <w:r w:rsidRPr="00C628DF">
        <w:rPr>
          <w:b w:val="0"/>
          <w:bCs/>
        </w:rPr>
        <w:instrText xml:space="preserve"> TOC \f \n \t "Observation;1" </w:instrText>
      </w:r>
      <w:r>
        <w:rPr>
          <w:b w:val="0"/>
          <w:bCs/>
        </w:rPr>
        <w:fldChar w:fldCharType="separate"/>
      </w:r>
    </w:p>
    <w:p w14:paraId="48A51DCE" w14:textId="77777777" w:rsidR="002E25FD" w:rsidRDefault="002E25FD">
      <w:pPr>
        <w:pStyle w:val="TOC1"/>
        <w:rPr>
          <w:rFonts w:asciiTheme="minorHAnsi" w:eastAsiaTheme="minorEastAsia" w:hAnsiTheme="minorHAnsi" w:cstheme="minorBidi"/>
          <w:b w:val="0"/>
          <w:sz w:val="22"/>
          <w:lang w:eastAsia="en-US"/>
        </w:rPr>
      </w:pPr>
      <w:r w:rsidRPr="00940D10">
        <w:t>Observation 1</w:t>
      </w:r>
      <w:r>
        <w:rPr>
          <w:rFonts w:asciiTheme="minorHAnsi" w:eastAsiaTheme="minorEastAsia" w:hAnsiTheme="minorHAnsi" w:cstheme="minorBidi"/>
          <w:b w:val="0"/>
          <w:sz w:val="22"/>
          <w:lang w:eastAsia="en-US"/>
        </w:rPr>
        <w:tab/>
      </w:r>
      <w:r w:rsidRPr="00940D10">
        <w:t xml:space="preserve">In LTE, RRC parameter </w:t>
      </w:r>
      <w:r w:rsidRPr="00940D10">
        <w:rPr>
          <w:i/>
        </w:rPr>
        <w:t>measCycleSCell</w:t>
      </w:r>
      <w:r w:rsidRPr="00940D10">
        <w:t xml:space="preserve"> is used to control measurement requirements of deactivated secondary component carriers.</w:t>
      </w:r>
    </w:p>
    <w:p w14:paraId="5C342F4B" w14:textId="77777777" w:rsidR="008E065E" w:rsidRDefault="008E065E" w:rsidP="008E065E">
      <w:pPr>
        <w:pStyle w:val="BodyText"/>
        <w:rPr>
          <w:b/>
          <w:bCs/>
        </w:rPr>
      </w:pPr>
      <w:r>
        <w:rPr>
          <w:b/>
          <w:bCs/>
        </w:rPr>
        <w:fldChar w:fldCharType="end"/>
      </w:r>
    </w:p>
    <w:p w14:paraId="5FF288DB" w14:textId="77777777" w:rsidR="002E25FD"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76791531" w14:textId="77777777" w:rsidR="002E25FD" w:rsidRDefault="002E25F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Define measCycleSCell in NR that can be used to configure the UE for measurements of deactivated secondary component carrier(s).</w:t>
      </w:r>
    </w:p>
    <w:p w14:paraId="43591C01" w14:textId="03AEEDA4" w:rsidR="00C01F33" w:rsidRPr="00AC6BA7" w:rsidRDefault="008E065E" w:rsidP="006E062C">
      <w:pPr>
        <w:rPr>
          <w:b/>
          <w:bCs/>
        </w:rPr>
      </w:pPr>
      <w:r>
        <w:rPr>
          <w:b/>
          <w:bCs/>
        </w:rPr>
        <w:fldChar w:fldCharType="end"/>
      </w:r>
    </w:p>
    <w:p w14:paraId="4C9431F6" w14:textId="77777777" w:rsidR="00F507D1" w:rsidRPr="00CE0424" w:rsidRDefault="00F507D1" w:rsidP="00CE0424">
      <w:pPr>
        <w:pStyle w:val="Heading1"/>
      </w:pPr>
      <w:bookmarkStart w:id="31" w:name="_In-sequence_SDU_delivery"/>
      <w:bookmarkEnd w:id="31"/>
      <w:r w:rsidRPr="00CE0424">
        <w:t>References</w:t>
      </w:r>
    </w:p>
    <w:p w14:paraId="389DCB46" w14:textId="6EBED98D" w:rsidR="00E25A33" w:rsidRPr="00CE0424" w:rsidRDefault="00FB0718" w:rsidP="00795412">
      <w:pPr>
        <w:pStyle w:val="Reference"/>
      </w:pPr>
      <w:bookmarkStart w:id="32" w:name="_Ref477726095"/>
      <w:bookmarkStart w:id="33" w:name="_Ref494299158"/>
      <w:r>
        <w:t>3GPP TS 36.1</w:t>
      </w:r>
      <w:r w:rsidR="00795412">
        <w:t>33</w:t>
      </w:r>
      <w:r>
        <w:t xml:space="preserve"> V1</w:t>
      </w:r>
      <w:r w:rsidR="00795412">
        <w:t>5</w:t>
      </w:r>
      <w:r>
        <w:t>.</w:t>
      </w:r>
      <w:r w:rsidR="00795412">
        <w:t>0</w:t>
      </w:r>
      <w:r>
        <w:t xml:space="preserve">.0, </w:t>
      </w:r>
      <w:r w:rsidRPr="00FB0718">
        <w:t xml:space="preserve">Technical Specification Group Radio Access Network; Evolved Universal Terrestrial Radio Access (E-UTRA); </w:t>
      </w:r>
      <w:r w:rsidR="00795412" w:rsidRPr="00795412">
        <w:rPr>
          <w:i/>
        </w:rPr>
        <w:t>Requirements for support of radio resource management</w:t>
      </w:r>
      <w:r>
        <w:t>, Sept. 2017.</w:t>
      </w:r>
      <w:bookmarkEnd w:id="32"/>
      <w:bookmarkEnd w:id="33"/>
      <w:r w:rsidR="00E25A33">
        <w:t xml:space="preserve"> </w:t>
      </w:r>
    </w:p>
    <w:sectPr w:rsidR="00E25A3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9E5CD" w14:textId="77777777" w:rsidR="00917A4F" w:rsidRDefault="00917A4F">
      <w:r>
        <w:separator/>
      </w:r>
    </w:p>
  </w:endnote>
  <w:endnote w:type="continuationSeparator" w:id="0">
    <w:p w14:paraId="73461086" w14:textId="77777777" w:rsidR="00917A4F" w:rsidRDefault="00917A4F">
      <w:r>
        <w:continuationSeparator/>
      </w:r>
    </w:p>
  </w:endnote>
  <w:endnote w:type="continuationNotice" w:id="1">
    <w:p w14:paraId="075FED7F" w14:textId="77777777" w:rsidR="00917A4F" w:rsidRDefault="00917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A26DD" w14:textId="77777777" w:rsidR="00917A4F" w:rsidRDefault="00917A4F">
      <w:r>
        <w:separator/>
      </w:r>
    </w:p>
  </w:footnote>
  <w:footnote w:type="continuationSeparator" w:id="0">
    <w:p w14:paraId="4B8F6729" w14:textId="77777777" w:rsidR="00917A4F" w:rsidRDefault="00917A4F">
      <w:r>
        <w:continuationSeparator/>
      </w:r>
    </w:p>
  </w:footnote>
  <w:footnote w:type="continuationNotice" w:id="1">
    <w:p w14:paraId="4EED3CE4" w14:textId="77777777" w:rsidR="00917A4F" w:rsidRDefault="00917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34C3"/>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E2F1F"/>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3AD8"/>
    <w:rsid w:val="00346DB5"/>
    <w:rsid w:val="003477B1"/>
    <w:rsid w:val="0035482C"/>
    <w:rsid w:val="00357380"/>
    <w:rsid w:val="003577B2"/>
    <w:rsid w:val="003602D9"/>
    <w:rsid w:val="003604CE"/>
    <w:rsid w:val="00370E47"/>
    <w:rsid w:val="00373910"/>
    <w:rsid w:val="003742AC"/>
    <w:rsid w:val="00377CE1"/>
    <w:rsid w:val="00385BF0"/>
    <w:rsid w:val="003939FF"/>
    <w:rsid w:val="003A14E3"/>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3234"/>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139"/>
    <w:rsid w:val="004734D0"/>
    <w:rsid w:val="0047556B"/>
    <w:rsid w:val="00476252"/>
    <w:rsid w:val="00477768"/>
    <w:rsid w:val="00482F0B"/>
    <w:rsid w:val="00486FA4"/>
    <w:rsid w:val="00492BC5"/>
    <w:rsid w:val="00494ADB"/>
    <w:rsid w:val="004964F1"/>
    <w:rsid w:val="0049663C"/>
    <w:rsid w:val="004A16BC"/>
    <w:rsid w:val="004A2B94"/>
    <w:rsid w:val="004A2EA2"/>
    <w:rsid w:val="004A4487"/>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0E74"/>
    <w:rsid w:val="00546970"/>
    <w:rsid w:val="00554E19"/>
    <w:rsid w:val="005575AC"/>
    <w:rsid w:val="0056121F"/>
    <w:rsid w:val="0056679E"/>
    <w:rsid w:val="00572505"/>
    <w:rsid w:val="00580202"/>
    <w:rsid w:val="005811BC"/>
    <w:rsid w:val="00582809"/>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374"/>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0C10"/>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412"/>
    <w:rsid w:val="00795C92"/>
    <w:rsid w:val="00796231"/>
    <w:rsid w:val="007A1CB3"/>
    <w:rsid w:val="007A1F8E"/>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340E"/>
    <w:rsid w:val="008848E3"/>
    <w:rsid w:val="00894A88"/>
    <w:rsid w:val="00894E45"/>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31BD9"/>
    <w:rsid w:val="00932427"/>
    <w:rsid w:val="009368F3"/>
    <w:rsid w:val="00941636"/>
    <w:rsid w:val="00943742"/>
    <w:rsid w:val="00945C05"/>
    <w:rsid w:val="00946945"/>
    <w:rsid w:val="00947713"/>
    <w:rsid w:val="00947CAA"/>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6C87"/>
    <w:rsid w:val="00A17F63"/>
    <w:rsid w:val="00A2193B"/>
    <w:rsid w:val="00A22278"/>
    <w:rsid w:val="00A2351A"/>
    <w:rsid w:val="00A23FAF"/>
    <w:rsid w:val="00A264A9"/>
    <w:rsid w:val="00A27785"/>
    <w:rsid w:val="00A30187"/>
    <w:rsid w:val="00A305D7"/>
    <w:rsid w:val="00A3448A"/>
    <w:rsid w:val="00A36297"/>
    <w:rsid w:val="00A41E2B"/>
    <w:rsid w:val="00A45B74"/>
    <w:rsid w:val="00A47B82"/>
    <w:rsid w:val="00A52E1D"/>
    <w:rsid w:val="00A54556"/>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05474"/>
    <w:rsid w:val="00B157F9"/>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9DA"/>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408FB"/>
    <w:rsid w:val="00C54995"/>
    <w:rsid w:val="00C54D41"/>
    <w:rsid w:val="00C60783"/>
    <w:rsid w:val="00C628DF"/>
    <w:rsid w:val="00C64672"/>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52CD"/>
    <w:rsid w:val="00D3005B"/>
    <w:rsid w:val="00D36E71"/>
    <w:rsid w:val="00D37D87"/>
    <w:rsid w:val="00D40B33"/>
    <w:rsid w:val="00D4318F"/>
    <w:rsid w:val="00D438BF"/>
    <w:rsid w:val="00D440F8"/>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262B2"/>
    <w:rsid w:val="00E30B5A"/>
    <w:rsid w:val="00E3123D"/>
    <w:rsid w:val="00E31461"/>
    <w:rsid w:val="00E3180A"/>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528D"/>
    <w:rsid w:val="00F052FD"/>
    <w:rsid w:val="00F069E4"/>
    <w:rsid w:val="00F06C67"/>
    <w:rsid w:val="00F06DFD"/>
    <w:rsid w:val="00F071D1"/>
    <w:rsid w:val="00F07533"/>
    <w:rsid w:val="00F10629"/>
    <w:rsid w:val="00F154B0"/>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overflowPunct/>
      <w:autoSpaceDE/>
      <w:autoSpaceDN/>
      <w:adjustRightInd/>
      <w:spacing w:after="0"/>
      <w:ind w:left="720"/>
      <w:textAlignment w:val="auto"/>
    </w:pPr>
    <w:rPr>
      <w:rFonts w:ascii="Calibri" w:eastAsia="Calibri" w:hAnsi="Calibri"/>
      <w:sz w:val="22"/>
      <w:szCs w:val="22"/>
      <w:lang w:eastAsia="en-US"/>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5NUHHDQN7SK2-1-185667</_dlc_DocId>
    <TaxCatchAll xmlns="08b2df90-05d3-4030-90d4-c9feeb4a1cd9">
      <Value>3</Value>
      <Value>1</Value>
    </TaxCatchAll>
    <TaxKeywordTaxHTField xmlns="08b2df90-05d3-4030-90d4-c9feeb4a1cd9">
      <Terms xmlns="http://schemas.microsoft.com/office/infopath/2007/PartnerControl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IconOverlay xmlns="http://schemas.microsoft.com/sharepoint/v4" xsi:nil="true"/>
    <Prepared. xmlns="7789c8df-cd92-43c1-8a83-195dbc0f0a0a" xsi:nil="true"/>
    <AbstractOrSummary. xmlns="7789c8df-cd92-43c1-8a83-195dbc0f0a0a" xsi:nil="true"/>
    <EriCOLLDate. xmlns="7789c8df-cd92-43c1-8a83-195dbc0f0a0a" xsi:nil="true"/>
    <_dlc_DocIdUrl xmlns="08b2df90-05d3-4030-90d4-c9feeb4a1cd9">
      <Url>https://ericoll.internal.ericsson.com/sites/star/_layouts/DocIdRedir.aspx?ID=5NUHHDQN7SK2-1-185667</Url>
      <Description>5NUHHDQN7SK2-1-185667</Description>
    </_dlc_DocIdUrl>
    <EriCOLLProductsTaxHTField0 xmlns="7789c8df-cd92-43c1-8a83-195dbc0f0a0a">
      <Terms xmlns="http://schemas.microsoft.com/office/infopath/2007/PartnerControls"/>
    </EriCOLLProductsTaxHTField0>
    <EriCOLLProcessTaxHTField0 xmlns="7789c8df-cd92-43c1-8a83-195dbc0f0a0a">
      <Terms xmlns="http://schemas.microsoft.com/office/infopath/2007/PartnerControls"/>
    </EriCOLLProcessTaxHTField0>
  </documentManagement>
</p:properties>
</file>

<file path=customXml/itemProps1.xml><?xml version="1.0" encoding="utf-8"?>
<ds:datastoreItem xmlns:ds="http://schemas.openxmlformats.org/officeDocument/2006/customXml" ds:itemID="{AECD4152-1414-40C3-9AE2-B6F3DD1CF99D}"/>
</file>

<file path=customXml/itemProps2.xml><?xml version="1.0" encoding="utf-8"?>
<ds:datastoreItem xmlns:ds="http://schemas.openxmlformats.org/officeDocument/2006/customXml" ds:itemID="{87B0A392-E21E-4628-8967-FA4D11D1D676}"/>
</file>

<file path=customXml/itemProps3.xml><?xml version="1.0" encoding="utf-8"?>
<ds:datastoreItem xmlns:ds="http://schemas.openxmlformats.org/officeDocument/2006/customXml" ds:itemID="{9C4EC34F-35AA-41CD-8A5C-FBF5338CEBDA}"/>
</file>

<file path=customXml/itemProps4.xml><?xml version="1.0" encoding="utf-8"?>
<ds:datastoreItem xmlns:ds="http://schemas.openxmlformats.org/officeDocument/2006/customXml" ds:itemID="{8A0C4915-0227-497F-AE23-A1432A0C5C07}"/>
</file>

<file path=customXml/itemProps5.xml><?xml version="1.0" encoding="utf-8"?>
<ds:datastoreItem xmlns:ds="http://schemas.openxmlformats.org/officeDocument/2006/customXml" ds:itemID="{2858E5C4-BE6F-4E9A-91C6-BF318BAFA46C}"/>
</file>

<file path=customXml/itemProps6.xml><?xml version="1.0" encoding="utf-8"?>
<ds:datastoreItem xmlns:ds="http://schemas.openxmlformats.org/officeDocument/2006/customXml" ds:itemID="{ED012FDD-4084-4A3C-8524-C9CEB381C990}"/>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4177</Characters>
  <Application>Microsoft Office Word</Application>
  <DocSecurity>0</DocSecurity>
  <Lines>34</Lines>
  <Paragraphs>9</Paragraphs>
  <ScaleCrop>false</ScaleCrop>
  <Company/>
  <LinksUpToDate>false</LinksUpToDate>
  <CharactersWithSpaces>4900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2017-11-17T07:55:00Z</dcterms:created>
  <dcterms:modified xsi:type="dcterms:W3CDTF">2017-11-17T07:55:00Z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0x010100BB337192E63E44A7A744CE7393F41F4E00FC0FCE182CC02C499F00CC069FCD5A25</vt:lpwstr>
  </property>
  <property fmtid="{D5CDD505-2E9C-101B-9397-08002B2CF9AE}" pid="9" name="Date">
    <vt:filetime>2010-01-07T23:00:00Z</vt:filetime>
  </property>
  <property fmtid="{D5CDD505-2E9C-101B-9397-08002B2CF9AE}" pid="10" name="EriCOLLOrganizationUnit">
    <vt:lpwstr>3;#GFTE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f30d7744-55a4-416d-a23b-181f03097107</vt:lpwstr>
  </property>
</Properties>
</file>